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b w:val="1"/>
          <w:smallCaps w:val="0"/>
          <w:sz w:val="26"/>
          <w:szCs w:val="26"/>
        </w:rPr>
      </w:pPr>
      <w:r w:rsidDel="00000000" w:rsidR="00000000" w:rsidRPr="00000000">
        <w:rPr>
          <w:b w:val="1"/>
          <w:smallCaps w:val="0"/>
          <w:sz w:val="26"/>
          <w:szCs w:val="26"/>
          <w:rtl w:val="0"/>
        </w:rPr>
        <w:t xml:space="preserve">DG Just – Euroopan unionin perusoikeuskirja</w:t>
      </w:r>
    </w:p>
    <w:p w:rsidR="00000000" w:rsidDel="00000000" w:rsidP="00000000" w:rsidRDefault="00000000" w:rsidRPr="00000000" w14:paraId="00000002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Yhdessä oikeuksiamme puolustamaan!</w:t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i w:val="1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Tiesitkö?</w:t>
      </w:r>
    </w:p>
    <w:p w:rsidR="00000000" w:rsidDel="00000000" w:rsidP="00000000" w:rsidRDefault="00000000" w:rsidRPr="00000000" w14:paraId="00000005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Euroopan unionin perusoikeuskirja on juuri sinua varten. </w:t>
      </w:r>
    </w:p>
    <w:p w:rsidR="00000000" w:rsidDel="00000000" w:rsidP="00000000" w:rsidRDefault="00000000" w:rsidRPr="00000000" w14:paraId="00000006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mallCaps w:val="0"/>
          <w:sz w:val="20"/>
          <w:szCs w:val="20"/>
          <w:rtl w:val="0"/>
        </w:rPr>
        <w:t xml:space="preserve">Lue lisää perusoikeuskirjasta ja siitä, mitä voit tehdä oikeuksiesi puolustamiseksi linkistä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alibri" w:cs="Calibri" w:eastAsia="Calibri" w:hAnsi="Calibri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Rule="auto"/>
    </w:pPr>
    <w:rPr>
      <w:smallCaps w:val="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Rule="auto"/>
    </w:pPr>
    <w:rPr>
      <w:smallCap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Rule="auto"/>
    </w:pPr>
    <w:rPr>
      <w:smallCap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Rule="auto"/>
    </w:pPr>
    <w:rPr>
      <w:smallCaps w:val="0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Rule="auto"/>
    </w:pPr>
    <w:rPr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</w:pPr>
    <w:rPr>
      <w:smallCaps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lineRule="auto"/>
    </w:pPr>
    <w:rPr>
      <w:smallCap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ight-here-right-now.campaign.europa.eu/index_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